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956C4D" w14:textId="77777777" w:rsidR="00A22B6C" w:rsidRDefault="00A22B6C" w:rsidP="00A22B6C">
      <w:pPr>
        <w:spacing w:line="480" w:lineRule="auto"/>
        <w:jc w:val="center"/>
        <w:rPr>
          <w:rFonts w:cstheme="minorHAnsi"/>
          <w:b/>
          <w:bCs/>
        </w:rPr>
      </w:pPr>
    </w:p>
    <w:p w14:paraId="29EFFE6D" w14:textId="77777777" w:rsidR="00A22B6C" w:rsidRDefault="00A22B6C" w:rsidP="00A22B6C">
      <w:pPr>
        <w:spacing w:line="480" w:lineRule="auto"/>
        <w:jc w:val="center"/>
        <w:rPr>
          <w:rFonts w:cstheme="minorHAnsi"/>
          <w:b/>
          <w:bCs/>
        </w:rPr>
      </w:pPr>
    </w:p>
    <w:p w14:paraId="64AF3D80" w14:textId="77777777" w:rsidR="00A22B6C" w:rsidRDefault="00A22B6C" w:rsidP="00A22B6C">
      <w:pPr>
        <w:spacing w:line="480" w:lineRule="auto"/>
        <w:jc w:val="center"/>
        <w:rPr>
          <w:rFonts w:cstheme="minorHAnsi"/>
          <w:b/>
          <w:bCs/>
        </w:rPr>
      </w:pPr>
    </w:p>
    <w:p w14:paraId="29921100" w14:textId="77777777" w:rsidR="00A22B6C" w:rsidRDefault="00A22B6C" w:rsidP="00A22B6C">
      <w:pPr>
        <w:spacing w:line="480" w:lineRule="auto"/>
        <w:jc w:val="center"/>
        <w:rPr>
          <w:rFonts w:cstheme="minorHAnsi"/>
          <w:b/>
          <w:bCs/>
        </w:rPr>
      </w:pPr>
    </w:p>
    <w:p w14:paraId="7E4A8ECB" w14:textId="77777777" w:rsidR="00A22B6C" w:rsidRDefault="00A22B6C" w:rsidP="00A22B6C">
      <w:pPr>
        <w:spacing w:line="480" w:lineRule="auto"/>
        <w:jc w:val="center"/>
        <w:rPr>
          <w:rFonts w:cstheme="minorHAnsi"/>
          <w:b/>
          <w:bCs/>
        </w:rPr>
      </w:pPr>
    </w:p>
    <w:p w14:paraId="6E298B47" w14:textId="31D73ED4" w:rsidR="00CB477E" w:rsidRPr="00A22B6C" w:rsidRDefault="00A22B6C" w:rsidP="00A22B6C">
      <w:pPr>
        <w:spacing w:line="480" w:lineRule="auto"/>
        <w:jc w:val="center"/>
        <w:rPr>
          <w:rFonts w:cstheme="minorHAnsi"/>
          <w:b/>
          <w:bCs/>
        </w:rPr>
      </w:pPr>
      <w:r w:rsidRPr="00A22B6C">
        <w:rPr>
          <w:rFonts w:cstheme="minorHAnsi"/>
          <w:b/>
          <w:bCs/>
        </w:rPr>
        <w:t>Assignment 1: Learning Environment Evaluation Rubric</w:t>
      </w:r>
    </w:p>
    <w:p w14:paraId="7F8610D7" w14:textId="158BBB61" w:rsidR="00A22B6C" w:rsidRPr="00A22B6C" w:rsidRDefault="00A22B6C" w:rsidP="00A22B6C">
      <w:pPr>
        <w:spacing w:line="480" w:lineRule="auto"/>
        <w:jc w:val="center"/>
        <w:rPr>
          <w:rFonts w:cstheme="minorHAnsi"/>
        </w:rPr>
      </w:pPr>
      <w:r w:rsidRPr="00A22B6C">
        <w:rPr>
          <w:rFonts w:cstheme="minorHAnsi"/>
        </w:rPr>
        <w:t>Alice Sin, Kathryn Richards, Andrew Dunn, and Julia Cheong</w:t>
      </w:r>
    </w:p>
    <w:p w14:paraId="0EC0139D" w14:textId="66EC7992" w:rsidR="00A22B6C" w:rsidRPr="00A22B6C" w:rsidRDefault="00A22B6C" w:rsidP="00A22B6C">
      <w:pPr>
        <w:spacing w:line="480" w:lineRule="auto"/>
        <w:jc w:val="center"/>
        <w:rPr>
          <w:rFonts w:cstheme="minorHAnsi"/>
        </w:rPr>
      </w:pPr>
      <w:r w:rsidRPr="00A22B6C">
        <w:rPr>
          <w:rFonts w:cstheme="minorHAnsi"/>
        </w:rPr>
        <w:t>ETEC 524: Learning Technologies: Selection, Design, and Application</w:t>
      </w:r>
    </w:p>
    <w:p w14:paraId="1926ECBB" w14:textId="4E4206A6" w:rsidR="00A22B6C" w:rsidRPr="00A22B6C" w:rsidRDefault="00A22B6C" w:rsidP="00A22B6C">
      <w:pPr>
        <w:spacing w:line="480" w:lineRule="auto"/>
        <w:jc w:val="center"/>
        <w:rPr>
          <w:rFonts w:cstheme="minorHAnsi"/>
        </w:rPr>
      </w:pPr>
      <w:r w:rsidRPr="00A22B6C">
        <w:rPr>
          <w:rFonts w:cstheme="minorHAnsi"/>
        </w:rPr>
        <w:t>Dr. Natasha Boskic</w:t>
      </w:r>
    </w:p>
    <w:p w14:paraId="3DC12CEE" w14:textId="283A7451" w:rsidR="00A22B6C" w:rsidRPr="00A22B6C" w:rsidRDefault="00A22B6C" w:rsidP="00A22B6C">
      <w:pPr>
        <w:spacing w:line="480" w:lineRule="auto"/>
        <w:jc w:val="center"/>
        <w:rPr>
          <w:rFonts w:cstheme="minorHAnsi"/>
        </w:rPr>
      </w:pPr>
      <w:r w:rsidRPr="00A22B6C">
        <w:rPr>
          <w:rFonts w:cstheme="minorHAnsi"/>
        </w:rPr>
        <w:t>February 4, 2024</w:t>
      </w:r>
    </w:p>
    <w:p w14:paraId="002338BA" w14:textId="658D149A" w:rsidR="00A22B6C" w:rsidRPr="00A22B6C" w:rsidRDefault="00A22B6C">
      <w:pPr>
        <w:rPr>
          <w:rFonts w:cstheme="minorHAnsi"/>
        </w:rPr>
      </w:pPr>
      <w:r w:rsidRPr="00A22B6C">
        <w:rPr>
          <w:rFonts w:cstheme="minorHAnsi"/>
        </w:rPr>
        <w:br w:type="page"/>
      </w:r>
    </w:p>
    <w:p w14:paraId="705C353A" w14:textId="22E05D78" w:rsidR="00A22B6C" w:rsidRPr="00A22B6C" w:rsidRDefault="00A22B6C" w:rsidP="00A22B6C">
      <w:pPr>
        <w:jc w:val="center"/>
        <w:rPr>
          <w:rFonts w:cstheme="minorHAnsi"/>
          <w:b/>
          <w:bCs/>
        </w:rPr>
      </w:pPr>
      <w:r w:rsidRPr="00A22B6C">
        <w:rPr>
          <w:rFonts w:cstheme="minorHAnsi"/>
          <w:b/>
          <w:bCs/>
        </w:rPr>
        <w:lastRenderedPageBreak/>
        <w:t>Scenario</w:t>
      </w:r>
    </w:p>
    <w:p w14:paraId="2BEABC71" w14:textId="25B468B3" w:rsidR="00A22B6C" w:rsidRPr="00A22B6C" w:rsidRDefault="00A22B6C" w:rsidP="00A22B6C">
      <w:pPr>
        <w:pStyle w:val="NormalWeb"/>
        <w:spacing w:before="240" w:beforeAutospacing="0" w:after="240" w:afterAutospacing="0" w:line="480" w:lineRule="auto"/>
        <w:ind w:firstLine="720"/>
        <w:rPr>
          <w:rFonts w:asciiTheme="minorHAnsi" w:hAnsiTheme="minorHAnsi" w:cstheme="minorHAnsi"/>
        </w:rPr>
      </w:pPr>
      <w:r w:rsidRPr="00A22B6C">
        <w:rPr>
          <w:rFonts w:asciiTheme="minorHAnsi" w:hAnsiTheme="minorHAnsi" w:cstheme="minorHAnsi"/>
          <w:color w:val="000000"/>
          <w:sz w:val="22"/>
          <w:szCs w:val="22"/>
        </w:rPr>
        <w:t xml:space="preserve">The Hungarian </w:t>
      </w:r>
      <w:r w:rsidRPr="000C6DCE">
        <w:rPr>
          <w:rFonts w:asciiTheme="minorHAnsi" w:hAnsiTheme="minorHAnsi" w:cstheme="minorHAnsi"/>
          <w:color w:val="000000"/>
          <w:sz w:val="22"/>
          <w:szCs w:val="22"/>
        </w:rPr>
        <w:t>Ministry of Human Capacities</w:t>
      </w:r>
      <w:r w:rsidRPr="00A22B6C">
        <w:rPr>
          <w:rFonts w:asciiTheme="minorHAnsi" w:hAnsiTheme="minorHAnsi" w:cstheme="minorHAnsi"/>
          <w:color w:val="000000"/>
          <w:sz w:val="22"/>
          <w:szCs w:val="22"/>
        </w:rPr>
        <w:t xml:space="preserve"> (Wikipedia contributors, 2024) has identified the strategic goal of improving enrollment and successful completion of business-oriented programs in Hungarian higher education institutions. Twenty-eight of the </w:t>
      </w:r>
      <w:proofErr w:type="gramStart"/>
      <w:r w:rsidRPr="00A22B6C">
        <w:rPr>
          <w:rFonts w:asciiTheme="minorHAnsi" w:hAnsiTheme="minorHAnsi" w:cstheme="minorHAnsi"/>
          <w:color w:val="000000"/>
          <w:sz w:val="22"/>
          <w:szCs w:val="22"/>
        </w:rPr>
        <w:t>53</w:t>
      </w:r>
      <w:proofErr w:type="gramEnd"/>
      <w:r w:rsidRPr="00A22B6C">
        <w:rPr>
          <w:rFonts w:asciiTheme="minorHAnsi" w:hAnsiTheme="minorHAnsi" w:cstheme="minorHAnsi"/>
          <w:color w:val="000000"/>
          <w:sz w:val="22"/>
          <w:szCs w:val="22"/>
        </w:rPr>
        <w:t xml:space="preserve"> accredited HEIs in Hungary (OECD, 2017) offer Business Mathematics courses. Learning Management System (LMS) selection happens at institution level, and three main platforms are presently in use, alongside two student information systems (SIS). Educational technology and LMS use among instructors in Business Mathematics is low, with an LMS </w:t>
      </w:r>
      <w:proofErr w:type="gramStart"/>
      <w:r w:rsidRPr="00A22B6C">
        <w:rPr>
          <w:rFonts w:asciiTheme="minorHAnsi" w:hAnsiTheme="minorHAnsi" w:cstheme="minorHAnsi"/>
          <w:color w:val="000000"/>
          <w:sz w:val="22"/>
          <w:szCs w:val="22"/>
        </w:rPr>
        <w:t>being used</w:t>
      </w:r>
      <w:proofErr w:type="gramEnd"/>
      <w:r w:rsidRPr="00A22B6C">
        <w:rPr>
          <w:rFonts w:asciiTheme="minorHAnsi" w:hAnsiTheme="minorHAnsi" w:cstheme="minorHAnsi"/>
          <w:color w:val="000000"/>
          <w:sz w:val="22"/>
          <w:szCs w:val="22"/>
        </w:rPr>
        <w:t xml:space="preserve"> in only 53% of programs. Furthermore, where an LMS </w:t>
      </w:r>
      <w:r w:rsidRPr="00A22B6C">
        <w:rPr>
          <w:rFonts w:asciiTheme="minorHAnsi" w:hAnsiTheme="minorHAnsi" w:cstheme="minorHAnsi"/>
          <w:i/>
          <w:iCs/>
          <w:color w:val="000000"/>
          <w:sz w:val="22"/>
          <w:szCs w:val="22"/>
        </w:rPr>
        <w:t>is</w:t>
      </w:r>
      <w:r w:rsidRPr="00A22B6C">
        <w:rPr>
          <w:rFonts w:asciiTheme="minorHAnsi" w:hAnsiTheme="minorHAnsi" w:cstheme="minorHAnsi"/>
          <w:color w:val="000000"/>
          <w:sz w:val="22"/>
          <w:szCs w:val="22"/>
        </w:rPr>
        <w:t xml:space="preserve"> used, it is mostly to complement traditional pedagogies; the ‘S’ and ‘A</w:t>
      </w:r>
      <w:proofErr w:type="gramStart"/>
      <w:r w:rsidRPr="00A22B6C">
        <w:rPr>
          <w:rFonts w:asciiTheme="minorHAnsi" w:hAnsiTheme="minorHAnsi" w:cstheme="minorHAnsi"/>
          <w:color w:val="000000"/>
          <w:sz w:val="22"/>
          <w:szCs w:val="22"/>
        </w:rPr>
        <w:t>’,</w:t>
      </w:r>
      <w:proofErr w:type="gramEnd"/>
      <w:r w:rsidRPr="00A22B6C">
        <w:rPr>
          <w:rFonts w:asciiTheme="minorHAnsi" w:hAnsiTheme="minorHAnsi" w:cstheme="minorHAnsi"/>
          <w:color w:val="000000"/>
          <w:sz w:val="22"/>
          <w:szCs w:val="22"/>
        </w:rPr>
        <w:t xml:space="preserve"> rather than the ‘M’ and ‘R’ elements of the SAMR Model (Puentedura 2010). Business Mathematics instructors also sometimes make use of specialist mathematics tools, usually outside of the LMS. The Deans of the 28 HEIs are keen to move towards using technology more effectively, </w:t>
      </w:r>
      <w:proofErr w:type="gramStart"/>
      <w:r w:rsidRPr="00A22B6C">
        <w:rPr>
          <w:rFonts w:asciiTheme="minorHAnsi" w:hAnsiTheme="minorHAnsi" w:cstheme="minorHAnsi"/>
          <w:color w:val="000000"/>
          <w:sz w:val="22"/>
          <w:szCs w:val="22"/>
        </w:rPr>
        <w:t>in particular for</w:t>
      </w:r>
      <w:proofErr w:type="gramEnd"/>
      <w:r w:rsidRPr="00A22B6C">
        <w:rPr>
          <w:rFonts w:asciiTheme="minorHAnsi" w:hAnsiTheme="minorHAnsi" w:cstheme="minorHAnsi"/>
          <w:color w:val="000000"/>
          <w:sz w:val="22"/>
          <w:szCs w:val="22"/>
        </w:rPr>
        <w:t xml:space="preserve"> collaborative and project-based learning (i.e.</w:t>
      </w:r>
      <w:r w:rsidR="00FE7D47">
        <w:rPr>
          <w:rFonts w:asciiTheme="minorHAnsi" w:hAnsiTheme="minorHAnsi" w:cstheme="minorHAnsi"/>
          <w:color w:val="000000"/>
          <w:sz w:val="22"/>
          <w:szCs w:val="22"/>
        </w:rPr>
        <w:t>,</w:t>
      </w:r>
      <w:r w:rsidRPr="00A22B6C">
        <w:rPr>
          <w:rFonts w:asciiTheme="minorHAnsi" w:hAnsiTheme="minorHAnsi" w:cstheme="minorHAnsi"/>
          <w:color w:val="000000"/>
          <w:sz w:val="22"/>
          <w:szCs w:val="22"/>
        </w:rPr>
        <w:t xml:space="preserve"> incorporating the ‘M’ and ‘R’ of the SAMR Model). The Deans are looking to unify technology use under a single </w:t>
      </w:r>
      <w:r w:rsidRPr="00A22B6C">
        <w:rPr>
          <w:rFonts w:asciiTheme="minorHAnsi" w:hAnsiTheme="minorHAnsi" w:cstheme="minorHAnsi"/>
          <w:color w:val="000000"/>
          <w:sz w:val="22"/>
          <w:szCs w:val="22"/>
        </w:rPr>
        <w:t>LMS and</w:t>
      </w:r>
      <w:r w:rsidRPr="00A22B6C">
        <w:rPr>
          <w:rFonts w:asciiTheme="minorHAnsi" w:hAnsiTheme="minorHAnsi" w:cstheme="minorHAnsi"/>
          <w:color w:val="000000"/>
          <w:sz w:val="22"/>
          <w:szCs w:val="22"/>
        </w:rPr>
        <w:t xml:space="preserve"> have requested a task force </w:t>
      </w:r>
      <w:proofErr w:type="gramStart"/>
      <w:r w:rsidRPr="00A22B6C">
        <w:rPr>
          <w:rFonts w:asciiTheme="minorHAnsi" w:hAnsiTheme="minorHAnsi" w:cstheme="minorHAnsi"/>
          <w:color w:val="000000"/>
          <w:sz w:val="22"/>
          <w:szCs w:val="22"/>
        </w:rPr>
        <w:t>be created</w:t>
      </w:r>
      <w:proofErr w:type="gramEnd"/>
      <w:r w:rsidRPr="00A22B6C">
        <w:rPr>
          <w:rFonts w:asciiTheme="minorHAnsi" w:hAnsiTheme="minorHAnsi" w:cstheme="minorHAnsi"/>
          <w:color w:val="000000"/>
          <w:sz w:val="22"/>
          <w:szCs w:val="22"/>
        </w:rPr>
        <w:t xml:space="preserve"> to help them in this aim.</w:t>
      </w:r>
    </w:p>
    <w:p w14:paraId="5889D1CB" w14:textId="77777777" w:rsidR="00A22B6C" w:rsidRPr="00A22B6C" w:rsidRDefault="00A22B6C" w:rsidP="00A22B6C">
      <w:pPr>
        <w:pStyle w:val="NormalWeb"/>
        <w:spacing w:before="240" w:beforeAutospacing="0" w:after="240" w:afterAutospacing="0" w:line="480" w:lineRule="auto"/>
        <w:ind w:firstLine="720"/>
        <w:rPr>
          <w:rFonts w:asciiTheme="minorHAnsi" w:hAnsiTheme="minorHAnsi" w:cstheme="minorHAnsi"/>
          <w:color w:val="000000"/>
          <w:sz w:val="22"/>
          <w:szCs w:val="22"/>
        </w:rPr>
        <w:sectPr w:rsidR="00A22B6C" w:rsidRPr="00A22B6C">
          <w:pgSz w:w="12240" w:h="15840"/>
          <w:pgMar w:top="1440" w:right="1440" w:bottom="1440" w:left="1440" w:header="708" w:footer="708" w:gutter="0"/>
          <w:cols w:space="708"/>
          <w:docGrid w:linePitch="360"/>
        </w:sectPr>
      </w:pPr>
      <w:r w:rsidRPr="00A22B6C">
        <w:rPr>
          <w:rFonts w:asciiTheme="minorHAnsi" w:hAnsiTheme="minorHAnsi" w:cstheme="minorHAnsi"/>
          <w:color w:val="000000"/>
          <w:sz w:val="22"/>
          <w:szCs w:val="22"/>
        </w:rPr>
        <w:t xml:space="preserve">The current inconsistent and sometimes ad-hoc use of educational technologies </w:t>
      </w:r>
      <w:proofErr w:type="gramStart"/>
      <w:r w:rsidRPr="00A22B6C">
        <w:rPr>
          <w:rFonts w:asciiTheme="minorHAnsi" w:hAnsiTheme="minorHAnsi" w:cstheme="minorHAnsi"/>
          <w:color w:val="000000"/>
          <w:sz w:val="22"/>
          <w:szCs w:val="22"/>
        </w:rPr>
        <w:t>is seen</w:t>
      </w:r>
      <w:proofErr w:type="gramEnd"/>
      <w:r w:rsidRPr="00A22B6C">
        <w:rPr>
          <w:rFonts w:asciiTheme="minorHAnsi" w:hAnsiTheme="minorHAnsi" w:cstheme="minorHAnsi"/>
          <w:color w:val="000000"/>
          <w:sz w:val="22"/>
          <w:szCs w:val="22"/>
        </w:rPr>
        <w:t xml:space="preserve"> as a contributor to low enrollment and poor outcomes. Internationalization, while not directly referenced by the Ministry or Deans in the Terms of Reference for the task force, is an important consideration in Hungarian higher education in general, and in business programs in particular. The number of international students studying in Hungary is growing year-on-year (Statista.com, 2023), and better planning and implementation of appropriate educational technologies will be key to maintaining this trend. The task force </w:t>
      </w:r>
      <w:proofErr w:type="gramStart"/>
      <w:r w:rsidRPr="00A22B6C">
        <w:rPr>
          <w:rFonts w:asciiTheme="minorHAnsi" w:hAnsiTheme="minorHAnsi" w:cstheme="minorHAnsi"/>
          <w:color w:val="000000"/>
          <w:sz w:val="22"/>
          <w:szCs w:val="22"/>
        </w:rPr>
        <w:t>is required</w:t>
      </w:r>
      <w:proofErr w:type="gramEnd"/>
      <w:r w:rsidRPr="00A22B6C">
        <w:rPr>
          <w:rFonts w:asciiTheme="minorHAnsi" w:hAnsiTheme="minorHAnsi" w:cstheme="minorHAnsi"/>
          <w:color w:val="000000"/>
          <w:sz w:val="22"/>
          <w:szCs w:val="22"/>
        </w:rPr>
        <w:t xml:space="preserve"> to research the requirements of an LMS to meet these diverse goals, and to provide a rubric to support the Deans in making the final decision.</w:t>
      </w:r>
    </w:p>
    <w:p w14:paraId="74BA62B3" w14:textId="7BD51DC1" w:rsidR="00185038" w:rsidRDefault="00185038" w:rsidP="00185038">
      <w:pPr>
        <w:pStyle w:val="NormalWeb"/>
        <w:spacing w:before="240" w:beforeAutospacing="0" w:after="240" w:afterAutospacing="0" w:line="480" w:lineRule="auto"/>
        <w:ind w:firstLine="720"/>
        <w:jc w:val="center"/>
        <w:rPr>
          <w:rFonts w:asciiTheme="minorHAnsi" w:hAnsiTheme="minorHAnsi" w:cstheme="minorHAnsi"/>
          <w:b/>
          <w:bCs/>
          <w:color w:val="000000"/>
          <w:sz w:val="22"/>
          <w:szCs w:val="22"/>
        </w:rPr>
      </w:pPr>
      <w:r w:rsidRPr="00185038">
        <w:rPr>
          <w:rFonts w:asciiTheme="minorHAnsi" w:hAnsiTheme="minorHAnsi" w:cstheme="minorHAnsi"/>
          <w:b/>
          <w:bCs/>
          <w:color w:val="000000"/>
          <w:sz w:val="22"/>
          <w:szCs w:val="22"/>
        </w:rPr>
        <w:lastRenderedPageBreak/>
        <w:t>Rubric</w:t>
      </w:r>
    </w:p>
    <w:p w14:paraId="5FB07E86" w14:textId="78561E05" w:rsidR="00E86A06" w:rsidRDefault="00103CB6" w:rsidP="00E86A06">
      <w:pPr>
        <w:pStyle w:val="NormalWeb"/>
        <w:spacing w:before="240" w:beforeAutospacing="0" w:after="240" w:afterAutospacing="0" w:line="480" w:lineRule="auto"/>
        <w:ind w:firstLine="720"/>
        <w:rPr>
          <w:rFonts w:asciiTheme="minorHAnsi" w:hAnsiTheme="minorHAnsi" w:cstheme="minorHAnsi"/>
          <w:b/>
          <w:bCs/>
          <w:color w:val="000000"/>
          <w:sz w:val="22"/>
          <w:szCs w:val="22"/>
        </w:rPr>
      </w:pPr>
      <w:r>
        <w:rPr>
          <w:rFonts w:ascii="Arial" w:hAnsi="Arial" w:cs="Arial"/>
          <w:b/>
          <w:bCs/>
          <w:noProof/>
          <w:color w:val="000000"/>
          <w:sz w:val="20"/>
          <w:szCs w:val="20"/>
          <w:bdr w:val="none" w:sz="0" w:space="0" w:color="auto" w:frame="1"/>
        </w:rPr>
        <w:drawing>
          <wp:inline distT="0" distB="0" distL="0" distR="0" wp14:anchorId="19E7538E" wp14:editId="24D0C65A">
            <wp:extent cx="8229600" cy="5295900"/>
            <wp:effectExtent l="0" t="0" r="0" b="0"/>
            <wp:docPr id="2052071221" name="Picture 4" descr="A table of inform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071221" name="Picture 4" descr="A table of information&#10;&#10;Description automatically generated with medium confiden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29600" cy="5295900"/>
                    </a:xfrm>
                    <a:prstGeom prst="rect">
                      <a:avLst/>
                    </a:prstGeom>
                    <a:noFill/>
                    <a:ln>
                      <a:noFill/>
                    </a:ln>
                  </pic:spPr>
                </pic:pic>
              </a:graphicData>
            </a:graphic>
          </wp:inline>
        </w:drawing>
      </w:r>
    </w:p>
    <w:p w14:paraId="67FFE5A3" w14:textId="77777777" w:rsidR="00103CB6" w:rsidRDefault="00103CB6" w:rsidP="00E86A06">
      <w:pPr>
        <w:pStyle w:val="NormalWeb"/>
        <w:spacing w:before="240" w:beforeAutospacing="0" w:after="240" w:afterAutospacing="0" w:line="480" w:lineRule="auto"/>
        <w:ind w:firstLine="720"/>
        <w:rPr>
          <w:rFonts w:asciiTheme="minorHAnsi" w:hAnsiTheme="minorHAnsi" w:cstheme="minorHAnsi"/>
          <w:b/>
          <w:bCs/>
          <w:color w:val="000000"/>
          <w:sz w:val="22"/>
          <w:szCs w:val="22"/>
        </w:rPr>
      </w:pPr>
    </w:p>
    <w:p w14:paraId="2B723A3C" w14:textId="03419737" w:rsidR="00103CB6" w:rsidRDefault="00103CB6">
      <w:pPr>
        <w:rPr>
          <w:rFonts w:eastAsia="Times New Roman" w:cstheme="minorHAnsi"/>
          <w:b/>
          <w:bCs/>
          <w:color w:val="000000"/>
          <w:kern w:val="0"/>
          <w:lang w:eastAsia="en-CA"/>
          <w14:ligatures w14:val="none"/>
        </w:rPr>
      </w:pPr>
      <w:r>
        <w:rPr>
          <w:rFonts w:cstheme="minorHAnsi"/>
          <w:b/>
          <w:bCs/>
          <w:color w:val="000000"/>
        </w:rPr>
        <w:br w:type="page"/>
      </w:r>
    </w:p>
    <w:p w14:paraId="0652BCE0" w14:textId="3E5D7A11" w:rsidR="00103CB6" w:rsidRDefault="00D41B90" w:rsidP="00E86A06">
      <w:pPr>
        <w:pStyle w:val="NormalWeb"/>
        <w:spacing w:before="240" w:beforeAutospacing="0" w:after="240" w:afterAutospacing="0" w:line="480" w:lineRule="auto"/>
        <w:ind w:firstLine="720"/>
        <w:rPr>
          <w:rFonts w:asciiTheme="minorHAnsi" w:hAnsiTheme="minorHAnsi" w:cstheme="minorHAnsi"/>
          <w:b/>
          <w:bCs/>
          <w:color w:val="000000"/>
          <w:sz w:val="22"/>
          <w:szCs w:val="22"/>
        </w:rPr>
      </w:pPr>
      <w:r>
        <w:rPr>
          <w:rFonts w:ascii="Arial" w:hAnsi="Arial" w:cs="Arial"/>
          <w:noProof/>
          <w:color w:val="000000"/>
          <w:sz w:val="22"/>
          <w:szCs w:val="22"/>
          <w:bdr w:val="none" w:sz="0" w:space="0" w:color="auto" w:frame="1"/>
        </w:rPr>
        <w:lastRenderedPageBreak/>
        <w:drawing>
          <wp:inline distT="0" distB="0" distL="0" distR="0" wp14:anchorId="1E879C0A" wp14:editId="1560D1CE">
            <wp:extent cx="8229600" cy="5334000"/>
            <wp:effectExtent l="0" t="0" r="0" b="0"/>
            <wp:docPr id="555792507" name="Picture 5" descr="A table of tex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792507" name="Picture 5" descr="A table of text on a white surfac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229600" cy="5334000"/>
                    </a:xfrm>
                    <a:prstGeom prst="rect">
                      <a:avLst/>
                    </a:prstGeom>
                    <a:noFill/>
                    <a:ln>
                      <a:noFill/>
                    </a:ln>
                  </pic:spPr>
                </pic:pic>
              </a:graphicData>
            </a:graphic>
          </wp:inline>
        </w:drawing>
      </w:r>
    </w:p>
    <w:p w14:paraId="39AA9E57" w14:textId="618949F8" w:rsidR="00D41B90" w:rsidRDefault="00D41B90">
      <w:pPr>
        <w:rPr>
          <w:rFonts w:eastAsia="Times New Roman" w:cstheme="minorHAnsi"/>
          <w:b/>
          <w:bCs/>
          <w:color w:val="000000"/>
          <w:kern w:val="0"/>
          <w:lang w:eastAsia="en-CA"/>
          <w14:ligatures w14:val="none"/>
        </w:rPr>
      </w:pPr>
      <w:r>
        <w:rPr>
          <w:rFonts w:cstheme="minorHAnsi"/>
          <w:b/>
          <w:bCs/>
          <w:color w:val="000000"/>
        </w:rPr>
        <w:br w:type="page"/>
      </w:r>
    </w:p>
    <w:p w14:paraId="6AE78B2E" w14:textId="7110D4AC" w:rsidR="00D41B90" w:rsidRDefault="00D41B90" w:rsidP="00E86A06">
      <w:pPr>
        <w:pStyle w:val="NormalWeb"/>
        <w:spacing w:before="240" w:beforeAutospacing="0" w:after="240" w:afterAutospacing="0" w:line="480" w:lineRule="auto"/>
        <w:ind w:firstLine="720"/>
        <w:rPr>
          <w:rFonts w:asciiTheme="minorHAnsi" w:hAnsiTheme="minorHAnsi" w:cstheme="minorHAnsi"/>
          <w:b/>
          <w:bCs/>
          <w:color w:val="000000"/>
          <w:sz w:val="22"/>
          <w:szCs w:val="22"/>
        </w:rPr>
      </w:pPr>
      <w:r>
        <w:rPr>
          <w:rFonts w:ascii="Arial" w:hAnsi="Arial" w:cs="Arial"/>
          <w:noProof/>
          <w:color w:val="000000"/>
          <w:sz w:val="22"/>
          <w:szCs w:val="22"/>
          <w:bdr w:val="none" w:sz="0" w:space="0" w:color="auto" w:frame="1"/>
        </w:rPr>
        <w:lastRenderedPageBreak/>
        <w:drawing>
          <wp:inline distT="0" distB="0" distL="0" distR="0" wp14:anchorId="796D2767" wp14:editId="1F0A8158">
            <wp:extent cx="8229600" cy="3970020"/>
            <wp:effectExtent l="0" t="0" r="0" b="0"/>
            <wp:docPr id="117548846" name="Picture 6" descr="A table of information on a whit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48846" name="Picture 6" descr="A table of information on a white background&#10;&#10;Description automatically generated with medium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29600" cy="3970020"/>
                    </a:xfrm>
                    <a:prstGeom prst="rect">
                      <a:avLst/>
                    </a:prstGeom>
                    <a:noFill/>
                    <a:ln>
                      <a:noFill/>
                    </a:ln>
                  </pic:spPr>
                </pic:pic>
              </a:graphicData>
            </a:graphic>
          </wp:inline>
        </w:drawing>
      </w:r>
    </w:p>
    <w:p w14:paraId="17617EDD" w14:textId="124CA494" w:rsidR="00D41B90" w:rsidRDefault="00D41B90">
      <w:pPr>
        <w:rPr>
          <w:rFonts w:eastAsia="Times New Roman" w:cstheme="minorHAnsi"/>
          <w:b/>
          <w:bCs/>
          <w:color w:val="000000"/>
          <w:kern w:val="0"/>
          <w:lang w:eastAsia="en-CA"/>
          <w14:ligatures w14:val="none"/>
        </w:rPr>
      </w:pPr>
      <w:r>
        <w:rPr>
          <w:rFonts w:cstheme="minorHAnsi"/>
          <w:b/>
          <w:bCs/>
          <w:color w:val="000000"/>
        </w:rPr>
        <w:br w:type="page"/>
      </w:r>
    </w:p>
    <w:p w14:paraId="21526F66" w14:textId="40AE6B6E" w:rsidR="00D41B90" w:rsidRDefault="00A4727B" w:rsidP="00E86A06">
      <w:pPr>
        <w:pStyle w:val="NormalWeb"/>
        <w:spacing w:before="240" w:beforeAutospacing="0" w:after="240" w:afterAutospacing="0" w:line="480" w:lineRule="auto"/>
        <w:ind w:firstLine="720"/>
        <w:rPr>
          <w:rFonts w:asciiTheme="minorHAnsi" w:hAnsiTheme="minorHAnsi" w:cstheme="minorHAnsi"/>
          <w:b/>
          <w:bCs/>
          <w:color w:val="000000"/>
          <w:sz w:val="22"/>
          <w:szCs w:val="22"/>
        </w:rPr>
      </w:pPr>
      <w:r>
        <w:rPr>
          <w:rFonts w:ascii="Arial" w:hAnsi="Arial" w:cs="Arial"/>
          <w:noProof/>
          <w:color w:val="000000"/>
          <w:sz w:val="22"/>
          <w:szCs w:val="22"/>
          <w:bdr w:val="none" w:sz="0" w:space="0" w:color="auto" w:frame="1"/>
        </w:rPr>
        <w:lastRenderedPageBreak/>
        <w:drawing>
          <wp:inline distT="0" distB="0" distL="0" distR="0" wp14:anchorId="17B3EFB9" wp14:editId="1D2F7529">
            <wp:extent cx="8229600" cy="5989320"/>
            <wp:effectExtent l="0" t="0" r="0" b="0"/>
            <wp:docPr id="1599562760" name="Picture 7" descr="A white and black char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562760" name="Picture 7" descr="A white and black chart with black 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229600" cy="5989320"/>
                    </a:xfrm>
                    <a:prstGeom prst="rect">
                      <a:avLst/>
                    </a:prstGeom>
                    <a:noFill/>
                    <a:ln>
                      <a:noFill/>
                    </a:ln>
                  </pic:spPr>
                </pic:pic>
              </a:graphicData>
            </a:graphic>
          </wp:inline>
        </w:drawing>
      </w:r>
    </w:p>
    <w:p w14:paraId="2FDE8B1D" w14:textId="078BB37A" w:rsidR="00A4727B" w:rsidRDefault="00A4727B">
      <w:pPr>
        <w:rPr>
          <w:rFonts w:eastAsia="Times New Roman" w:cstheme="minorHAnsi"/>
          <w:b/>
          <w:bCs/>
          <w:color w:val="000000"/>
          <w:kern w:val="0"/>
          <w:lang w:eastAsia="en-CA"/>
          <w14:ligatures w14:val="none"/>
        </w:rPr>
      </w:pPr>
      <w:r>
        <w:rPr>
          <w:rFonts w:cstheme="minorHAnsi"/>
          <w:b/>
          <w:bCs/>
          <w:color w:val="000000"/>
        </w:rPr>
        <w:br w:type="page"/>
      </w:r>
    </w:p>
    <w:p w14:paraId="1570FDEE" w14:textId="26D8855E" w:rsidR="00A4727B" w:rsidRDefault="00A4727B" w:rsidP="00E86A06">
      <w:pPr>
        <w:pStyle w:val="NormalWeb"/>
        <w:spacing w:before="240" w:beforeAutospacing="0" w:after="240" w:afterAutospacing="0" w:line="480" w:lineRule="auto"/>
        <w:ind w:firstLine="720"/>
        <w:rPr>
          <w:rFonts w:asciiTheme="minorHAnsi" w:hAnsiTheme="minorHAnsi" w:cstheme="minorHAnsi"/>
          <w:b/>
          <w:bCs/>
          <w:color w:val="000000"/>
          <w:sz w:val="22"/>
          <w:szCs w:val="22"/>
        </w:rPr>
      </w:pPr>
      <w:r>
        <w:rPr>
          <w:rFonts w:ascii="Arial" w:hAnsi="Arial" w:cs="Arial"/>
          <w:noProof/>
          <w:color w:val="000000"/>
          <w:sz w:val="22"/>
          <w:szCs w:val="22"/>
          <w:bdr w:val="none" w:sz="0" w:space="0" w:color="auto" w:frame="1"/>
        </w:rPr>
        <w:lastRenderedPageBreak/>
        <w:drawing>
          <wp:inline distT="0" distB="0" distL="0" distR="0" wp14:anchorId="41CF4DDD" wp14:editId="12BE3A8A">
            <wp:extent cx="8229600" cy="3436620"/>
            <wp:effectExtent l="0" t="0" r="0" b="0"/>
            <wp:docPr id="766270413" name="Picture 8" descr="A white gri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270413" name="Picture 8" descr="A white grid with black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29600" cy="3436620"/>
                    </a:xfrm>
                    <a:prstGeom prst="rect">
                      <a:avLst/>
                    </a:prstGeom>
                    <a:noFill/>
                    <a:ln>
                      <a:noFill/>
                    </a:ln>
                  </pic:spPr>
                </pic:pic>
              </a:graphicData>
            </a:graphic>
          </wp:inline>
        </w:drawing>
      </w:r>
    </w:p>
    <w:p w14:paraId="07B58673" w14:textId="4F85E689" w:rsidR="00A4727B" w:rsidRDefault="00A4727B" w:rsidP="00E86A06">
      <w:pPr>
        <w:pStyle w:val="NormalWeb"/>
        <w:spacing w:before="240" w:beforeAutospacing="0" w:after="240" w:afterAutospacing="0" w:line="480" w:lineRule="auto"/>
        <w:ind w:firstLine="720"/>
        <w:rPr>
          <w:rFonts w:asciiTheme="minorHAnsi" w:hAnsiTheme="minorHAnsi" w:cstheme="minorHAnsi"/>
          <w:b/>
          <w:bCs/>
          <w:color w:val="000000"/>
          <w:sz w:val="22"/>
          <w:szCs w:val="22"/>
        </w:rPr>
      </w:pPr>
      <w:r>
        <w:rPr>
          <w:rFonts w:ascii="Arial" w:hAnsi="Arial" w:cs="Arial"/>
          <w:noProof/>
          <w:color w:val="000000"/>
          <w:sz w:val="22"/>
          <w:szCs w:val="22"/>
          <w:bdr w:val="none" w:sz="0" w:space="0" w:color="auto" w:frame="1"/>
        </w:rPr>
        <w:lastRenderedPageBreak/>
        <w:drawing>
          <wp:inline distT="0" distB="0" distL="0" distR="0" wp14:anchorId="3E3E57D9" wp14:editId="3ADD1BF2">
            <wp:extent cx="8229600" cy="5524500"/>
            <wp:effectExtent l="0" t="0" r="0" b="0"/>
            <wp:docPr id="1828256600" name="Picture 9" descr="A table of informational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256600" name="Picture 9" descr="A table of informational text&#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29600" cy="5524500"/>
                    </a:xfrm>
                    <a:prstGeom prst="rect">
                      <a:avLst/>
                    </a:prstGeom>
                    <a:noFill/>
                    <a:ln>
                      <a:noFill/>
                    </a:ln>
                  </pic:spPr>
                </pic:pic>
              </a:graphicData>
            </a:graphic>
          </wp:inline>
        </w:drawing>
      </w:r>
    </w:p>
    <w:p w14:paraId="4DF0987C" w14:textId="37F54D6D" w:rsidR="00A4727B" w:rsidRDefault="00C77E36" w:rsidP="00E86A06">
      <w:pPr>
        <w:pStyle w:val="NormalWeb"/>
        <w:spacing w:before="240" w:beforeAutospacing="0" w:after="240" w:afterAutospacing="0" w:line="480" w:lineRule="auto"/>
        <w:ind w:firstLine="720"/>
        <w:rPr>
          <w:rFonts w:asciiTheme="minorHAnsi" w:hAnsiTheme="minorHAnsi" w:cstheme="minorHAnsi"/>
          <w:b/>
          <w:bCs/>
          <w:color w:val="000000"/>
          <w:sz w:val="22"/>
          <w:szCs w:val="22"/>
        </w:rPr>
      </w:pPr>
      <w:r>
        <w:rPr>
          <w:rFonts w:ascii="Arial" w:hAnsi="Arial" w:cs="Arial"/>
          <w:noProof/>
          <w:color w:val="000000"/>
          <w:sz w:val="22"/>
          <w:szCs w:val="22"/>
          <w:bdr w:val="none" w:sz="0" w:space="0" w:color="auto" w:frame="1"/>
        </w:rPr>
        <w:lastRenderedPageBreak/>
        <w:drawing>
          <wp:inline distT="0" distB="0" distL="0" distR="0" wp14:anchorId="277E9B48" wp14:editId="473784FA">
            <wp:extent cx="8229600" cy="6088380"/>
            <wp:effectExtent l="0" t="0" r="0" b="7620"/>
            <wp:docPr id="1233271486" name="Picture 10" descr="A white gri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71486" name="Picture 10" descr="A white grid with black 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29600" cy="6088380"/>
                    </a:xfrm>
                    <a:prstGeom prst="rect">
                      <a:avLst/>
                    </a:prstGeom>
                    <a:noFill/>
                    <a:ln>
                      <a:noFill/>
                    </a:ln>
                  </pic:spPr>
                </pic:pic>
              </a:graphicData>
            </a:graphic>
          </wp:inline>
        </w:drawing>
      </w:r>
    </w:p>
    <w:p w14:paraId="76AF4DE6" w14:textId="77777777" w:rsidR="00185038" w:rsidRDefault="00185038">
      <w:pPr>
        <w:rPr>
          <w:rFonts w:cstheme="minorHAnsi"/>
          <w:b/>
          <w:bCs/>
        </w:rPr>
      </w:pPr>
    </w:p>
    <w:p w14:paraId="3D8EE0A4" w14:textId="77777777" w:rsidR="00185038" w:rsidRDefault="00185038">
      <w:pPr>
        <w:rPr>
          <w:rFonts w:cstheme="minorHAnsi"/>
          <w:b/>
          <w:bCs/>
        </w:rPr>
        <w:sectPr w:rsidR="00185038" w:rsidSect="00103CB6">
          <w:pgSz w:w="15840" w:h="12240" w:orient="landscape"/>
          <w:pgMar w:top="567" w:right="567" w:bottom="567" w:left="567" w:header="709" w:footer="709" w:gutter="0"/>
          <w:cols w:space="708"/>
          <w:docGrid w:linePitch="360"/>
        </w:sectPr>
      </w:pPr>
    </w:p>
    <w:p w14:paraId="1CF54C38" w14:textId="4B314E1F" w:rsidR="00185038" w:rsidRDefault="00185038">
      <w:pPr>
        <w:rPr>
          <w:rFonts w:cstheme="minorHAnsi"/>
          <w:b/>
          <w:bCs/>
        </w:rPr>
      </w:pPr>
    </w:p>
    <w:p w14:paraId="6D8B1600" w14:textId="2E55644B" w:rsidR="00A22B6C" w:rsidRPr="00A22B6C" w:rsidRDefault="00A22B6C" w:rsidP="00A22B6C">
      <w:pPr>
        <w:jc w:val="center"/>
        <w:rPr>
          <w:rFonts w:cstheme="minorHAnsi"/>
          <w:b/>
          <w:bCs/>
        </w:rPr>
      </w:pPr>
      <w:r w:rsidRPr="00A22B6C">
        <w:rPr>
          <w:rFonts w:cstheme="minorHAnsi"/>
          <w:b/>
          <w:bCs/>
        </w:rPr>
        <w:t>Rationale</w:t>
      </w:r>
    </w:p>
    <w:p w14:paraId="55E15D08" w14:textId="723D692B" w:rsidR="00EA19B9" w:rsidRDefault="00EA19B9" w:rsidP="00185038">
      <w:pPr>
        <w:spacing w:line="480" w:lineRule="auto"/>
        <w:ind w:firstLine="720"/>
        <w:rPr>
          <w:rFonts w:cstheme="minorHAnsi"/>
          <w:color w:val="000000"/>
        </w:rPr>
      </w:pPr>
      <w:r>
        <w:rPr>
          <w:rFonts w:cstheme="minorHAnsi"/>
          <w:color w:val="000000"/>
        </w:rPr>
        <w:t>We</w:t>
      </w:r>
      <w:r w:rsidR="00A22B6C" w:rsidRPr="00A22B6C">
        <w:rPr>
          <w:rFonts w:cstheme="minorHAnsi"/>
          <w:color w:val="000000"/>
        </w:rPr>
        <w:t xml:space="preserve"> chose to structure our rubric based on Bates’ (2014) SECTIONS framework. Our task was to identify </w:t>
      </w:r>
      <w:r>
        <w:rPr>
          <w:rFonts w:cstheme="minorHAnsi"/>
          <w:color w:val="000000"/>
        </w:rPr>
        <w:t xml:space="preserve">the required criteria for </w:t>
      </w:r>
      <w:r w:rsidR="00A22B6C" w:rsidRPr="00A22B6C">
        <w:rPr>
          <w:rFonts w:cstheme="minorHAnsi"/>
          <w:color w:val="000000"/>
        </w:rPr>
        <w:t>a</w:t>
      </w:r>
      <w:r>
        <w:rPr>
          <w:rFonts w:cstheme="minorHAnsi"/>
          <w:color w:val="000000"/>
        </w:rPr>
        <w:t>n</w:t>
      </w:r>
      <w:r w:rsidR="00A22B6C" w:rsidRPr="00A22B6C">
        <w:rPr>
          <w:rFonts w:cstheme="minorHAnsi"/>
          <w:color w:val="000000"/>
        </w:rPr>
        <w:t xml:space="preserve"> LMS </w:t>
      </w:r>
      <w:r w:rsidR="00FE7D47">
        <w:rPr>
          <w:rFonts w:cstheme="minorHAnsi"/>
          <w:color w:val="000000"/>
        </w:rPr>
        <w:t>to meet</w:t>
      </w:r>
      <w:r w:rsidR="00A22B6C" w:rsidRPr="00A22B6C">
        <w:rPr>
          <w:rFonts w:cstheme="minorHAnsi"/>
          <w:color w:val="000000"/>
        </w:rPr>
        <w:t xml:space="preserve"> the </w:t>
      </w:r>
      <w:proofErr w:type="gramStart"/>
      <w:r w:rsidR="00A22B6C" w:rsidRPr="00A22B6C">
        <w:rPr>
          <w:rFonts w:cstheme="minorHAnsi"/>
          <w:color w:val="000000"/>
        </w:rPr>
        <w:t>largely pedagogical</w:t>
      </w:r>
      <w:proofErr w:type="gramEnd"/>
      <w:r w:rsidR="00A22B6C" w:rsidRPr="00A22B6C">
        <w:rPr>
          <w:rFonts w:cstheme="minorHAnsi"/>
          <w:color w:val="000000"/>
        </w:rPr>
        <w:t xml:space="preserve"> concerns of the Ministry</w:t>
      </w:r>
      <w:r w:rsidR="00FE7D47">
        <w:rPr>
          <w:rFonts w:cstheme="minorHAnsi"/>
          <w:color w:val="000000"/>
        </w:rPr>
        <w:t xml:space="preserve"> and Deans</w:t>
      </w:r>
      <w:r w:rsidR="00A22B6C" w:rsidRPr="00A22B6C">
        <w:rPr>
          <w:rFonts w:cstheme="minorHAnsi"/>
          <w:color w:val="000000"/>
        </w:rPr>
        <w:t xml:space="preserve">, and Bates’ framework guided us in designing a rubric that </w:t>
      </w:r>
      <w:r w:rsidR="00FE7D47">
        <w:rPr>
          <w:rFonts w:cstheme="minorHAnsi"/>
          <w:color w:val="000000"/>
        </w:rPr>
        <w:t>meets</w:t>
      </w:r>
      <w:r w:rsidR="00A22B6C" w:rsidRPr="00A22B6C">
        <w:rPr>
          <w:rFonts w:cstheme="minorHAnsi"/>
          <w:color w:val="000000"/>
        </w:rPr>
        <w:t xml:space="preserve"> these goals. The rubric addresses the questions of underutilization of the LMS by both teachers and students, </w:t>
      </w:r>
      <w:r>
        <w:rPr>
          <w:rFonts w:cstheme="minorHAnsi"/>
          <w:color w:val="000000"/>
        </w:rPr>
        <w:t xml:space="preserve">the </w:t>
      </w:r>
      <w:r w:rsidR="00A22B6C" w:rsidRPr="00A22B6C">
        <w:rPr>
          <w:rFonts w:cstheme="minorHAnsi"/>
          <w:color w:val="000000"/>
        </w:rPr>
        <w:t xml:space="preserve">heavy reliance on external platforms, and focuses on streamlining the learning experience. Given the </w:t>
      </w:r>
      <w:proofErr w:type="gramStart"/>
      <w:r w:rsidR="00A22B6C" w:rsidRPr="00A22B6C">
        <w:rPr>
          <w:rFonts w:cstheme="minorHAnsi"/>
          <w:color w:val="000000"/>
        </w:rPr>
        <w:t xml:space="preserve">particular </w:t>
      </w:r>
      <w:r>
        <w:rPr>
          <w:rFonts w:cstheme="minorHAnsi"/>
          <w:color w:val="000000"/>
        </w:rPr>
        <w:t>needs</w:t>
      </w:r>
      <w:proofErr w:type="gramEnd"/>
      <w:r w:rsidR="00A22B6C" w:rsidRPr="00A22B6C">
        <w:rPr>
          <w:rFonts w:cstheme="minorHAnsi"/>
          <w:color w:val="000000"/>
        </w:rPr>
        <w:t xml:space="preserve"> of business-oriented programs </w:t>
      </w:r>
      <w:r w:rsidR="00955428">
        <w:rPr>
          <w:rFonts w:cstheme="minorHAnsi"/>
          <w:color w:val="000000"/>
        </w:rPr>
        <w:t>that include</w:t>
      </w:r>
      <w:r w:rsidR="00A22B6C" w:rsidRPr="00A22B6C">
        <w:rPr>
          <w:rFonts w:cstheme="minorHAnsi"/>
          <w:color w:val="000000"/>
        </w:rPr>
        <w:t xml:space="preserve"> mathematics courses, we wanted to make sure that access to specialist tools </w:t>
      </w:r>
      <w:r>
        <w:rPr>
          <w:rFonts w:cstheme="minorHAnsi"/>
          <w:color w:val="000000"/>
        </w:rPr>
        <w:t>was included as a criterion</w:t>
      </w:r>
      <w:r w:rsidR="00A22B6C" w:rsidRPr="00A22B6C">
        <w:rPr>
          <w:rFonts w:cstheme="minorHAnsi"/>
          <w:color w:val="000000"/>
        </w:rPr>
        <w:t xml:space="preserve">. </w:t>
      </w:r>
      <w:r>
        <w:rPr>
          <w:rFonts w:cstheme="minorHAnsi"/>
          <w:color w:val="000000"/>
        </w:rPr>
        <w:t>We</w:t>
      </w:r>
      <w:r w:rsidR="00A22B6C" w:rsidRPr="00A22B6C">
        <w:rPr>
          <w:rFonts w:cstheme="minorHAnsi"/>
          <w:color w:val="000000"/>
        </w:rPr>
        <w:t xml:space="preserve"> reference</w:t>
      </w:r>
      <w:r w:rsidR="00955428">
        <w:rPr>
          <w:rFonts w:cstheme="minorHAnsi"/>
          <w:color w:val="000000"/>
        </w:rPr>
        <w:t>d</w:t>
      </w:r>
      <w:r w:rsidR="00A22B6C" w:rsidRPr="00A22B6C">
        <w:rPr>
          <w:rFonts w:cstheme="minorHAnsi"/>
          <w:color w:val="000000"/>
        </w:rPr>
        <w:t xml:space="preserve"> the Universal Design for Learning (UDL) (CAST, 2008) framework for the </w:t>
      </w:r>
      <w:proofErr w:type="gramStart"/>
      <w:r w:rsidR="00A22B6C" w:rsidRPr="00955428">
        <w:rPr>
          <w:rFonts w:cstheme="minorHAnsi"/>
          <w:i/>
          <w:iCs/>
          <w:color w:val="000000"/>
        </w:rPr>
        <w:t>Students</w:t>
      </w:r>
      <w:proofErr w:type="gramEnd"/>
      <w:r w:rsidR="00A22B6C" w:rsidRPr="00A22B6C">
        <w:rPr>
          <w:rFonts w:cstheme="minorHAnsi"/>
          <w:color w:val="000000"/>
        </w:rPr>
        <w:t xml:space="preserve"> category to ensure that all learners </w:t>
      </w:r>
      <w:r w:rsidR="00955428">
        <w:rPr>
          <w:rFonts w:cstheme="minorHAnsi"/>
          <w:color w:val="000000"/>
        </w:rPr>
        <w:t xml:space="preserve">will </w:t>
      </w:r>
      <w:r w:rsidR="00A22B6C" w:rsidRPr="00A22B6C">
        <w:rPr>
          <w:rFonts w:cstheme="minorHAnsi"/>
          <w:color w:val="000000"/>
        </w:rPr>
        <w:t xml:space="preserve">have equitable access and participation opportunities. To </w:t>
      </w:r>
      <w:r w:rsidR="00955428">
        <w:rPr>
          <w:rFonts w:cstheme="minorHAnsi"/>
          <w:color w:val="000000"/>
        </w:rPr>
        <w:t>promote</w:t>
      </w:r>
      <w:r w:rsidR="00A22B6C" w:rsidRPr="00A22B6C">
        <w:rPr>
          <w:rFonts w:cstheme="minorHAnsi"/>
          <w:color w:val="000000"/>
        </w:rPr>
        <w:t xml:space="preserve"> moving away from a simple ‘e-text and quiz model’ and towards a collaborative and project learning environment, we emphasize</w:t>
      </w:r>
      <w:r w:rsidR="00955428">
        <w:rPr>
          <w:rFonts w:cstheme="minorHAnsi"/>
          <w:color w:val="000000"/>
        </w:rPr>
        <w:t>d</w:t>
      </w:r>
      <w:r w:rsidR="00A22B6C" w:rsidRPr="00A22B6C">
        <w:rPr>
          <w:rFonts w:cstheme="minorHAnsi"/>
          <w:color w:val="000000"/>
        </w:rPr>
        <w:t xml:space="preserve"> </w:t>
      </w:r>
      <w:r>
        <w:rPr>
          <w:rFonts w:cstheme="minorHAnsi"/>
          <w:color w:val="000000"/>
        </w:rPr>
        <w:t>the need for tools to enable</w:t>
      </w:r>
      <w:r w:rsidR="00A22B6C" w:rsidRPr="00A22B6C">
        <w:rPr>
          <w:rFonts w:cstheme="minorHAnsi"/>
          <w:color w:val="000000"/>
        </w:rPr>
        <w:t xml:space="preserve"> students to work together online. </w:t>
      </w:r>
      <w:r w:rsidR="00955428">
        <w:rPr>
          <w:rFonts w:cstheme="minorHAnsi"/>
          <w:color w:val="000000"/>
        </w:rPr>
        <w:t>As the Deans are</w:t>
      </w:r>
      <w:r w:rsidR="00A22B6C" w:rsidRPr="00A22B6C">
        <w:rPr>
          <w:rFonts w:cstheme="minorHAnsi"/>
          <w:color w:val="000000"/>
        </w:rPr>
        <w:t xml:space="preserve"> looking to unify the current program offerings, our rubric include</w:t>
      </w:r>
      <w:r w:rsidR="00185038">
        <w:rPr>
          <w:rFonts w:cstheme="minorHAnsi"/>
          <w:color w:val="000000"/>
        </w:rPr>
        <w:t>s</w:t>
      </w:r>
      <w:r w:rsidR="00A22B6C" w:rsidRPr="00A22B6C">
        <w:rPr>
          <w:rFonts w:cstheme="minorHAnsi"/>
          <w:color w:val="000000"/>
        </w:rPr>
        <w:t xml:space="preserve"> </w:t>
      </w:r>
      <w:proofErr w:type="gramStart"/>
      <w:r w:rsidR="00A22B6C" w:rsidRPr="00A22B6C">
        <w:rPr>
          <w:rFonts w:cstheme="minorHAnsi"/>
          <w:color w:val="000000"/>
        </w:rPr>
        <w:t>several</w:t>
      </w:r>
      <w:proofErr w:type="gramEnd"/>
      <w:r w:rsidR="00A22B6C" w:rsidRPr="00A22B6C">
        <w:rPr>
          <w:rFonts w:cstheme="minorHAnsi"/>
          <w:color w:val="000000"/>
        </w:rPr>
        <w:t xml:space="preserve"> criteria related to flexible course designs, the level of compatibility for various platforms</w:t>
      </w:r>
      <w:r w:rsidR="005A0DFA">
        <w:rPr>
          <w:rFonts w:cstheme="minorHAnsi"/>
          <w:color w:val="000000"/>
        </w:rPr>
        <w:t xml:space="preserve"> and </w:t>
      </w:r>
      <w:r w:rsidR="00A22B6C" w:rsidRPr="00A22B6C">
        <w:rPr>
          <w:rFonts w:cstheme="minorHAnsi"/>
          <w:color w:val="000000"/>
        </w:rPr>
        <w:t xml:space="preserve">tools, as well as opportunities to customize the tools available. Another directive </w:t>
      </w:r>
      <w:r w:rsidR="00185038">
        <w:rPr>
          <w:rFonts w:cstheme="minorHAnsi"/>
          <w:color w:val="000000"/>
        </w:rPr>
        <w:t>was</w:t>
      </w:r>
      <w:r w:rsidR="00A22B6C" w:rsidRPr="00A22B6C">
        <w:rPr>
          <w:rFonts w:cstheme="minorHAnsi"/>
          <w:color w:val="000000"/>
        </w:rPr>
        <w:t xml:space="preserve"> the need for enhanced student success rates. Considering this, we included </w:t>
      </w:r>
      <w:proofErr w:type="gramStart"/>
      <w:r w:rsidR="00A22B6C" w:rsidRPr="00A22B6C">
        <w:rPr>
          <w:rFonts w:cstheme="minorHAnsi"/>
          <w:color w:val="000000"/>
        </w:rPr>
        <w:t>several</w:t>
      </w:r>
      <w:proofErr w:type="gramEnd"/>
      <w:r w:rsidR="00A22B6C" w:rsidRPr="00A22B6C">
        <w:rPr>
          <w:rFonts w:cstheme="minorHAnsi"/>
          <w:color w:val="000000"/>
        </w:rPr>
        <w:t xml:space="preserve"> metrics related to student engagement, personalization of learning, and enhanced feedback and assessment tools that would provide students with a variety of feedback. </w:t>
      </w:r>
      <w:r w:rsidR="00185038">
        <w:rPr>
          <w:rFonts w:cstheme="minorHAnsi"/>
          <w:color w:val="000000"/>
        </w:rPr>
        <w:t>Studies</w:t>
      </w:r>
      <w:r w:rsidR="00A22B6C" w:rsidRPr="00A22B6C">
        <w:rPr>
          <w:rFonts w:cstheme="minorHAnsi"/>
          <w:color w:val="000000"/>
        </w:rPr>
        <w:t xml:space="preserve"> ha</w:t>
      </w:r>
      <w:r w:rsidR="00185038">
        <w:rPr>
          <w:rFonts w:cstheme="minorHAnsi"/>
          <w:color w:val="000000"/>
        </w:rPr>
        <w:t>ve</w:t>
      </w:r>
      <w:r w:rsidR="00A22B6C" w:rsidRPr="00A22B6C">
        <w:rPr>
          <w:rFonts w:cstheme="minorHAnsi"/>
          <w:color w:val="000000"/>
        </w:rPr>
        <w:t xml:space="preserve"> shown that providing various forms of feedback has positive impacts on student learning outcomes (Henderson et al., 2019). </w:t>
      </w:r>
      <w:r w:rsidR="00955428">
        <w:rPr>
          <w:rFonts w:cstheme="minorHAnsi"/>
          <w:color w:val="000000"/>
        </w:rPr>
        <w:t>We also</w:t>
      </w:r>
      <w:r w:rsidR="00A22B6C" w:rsidRPr="00A22B6C">
        <w:rPr>
          <w:rFonts w:cstheme="minorHAnsi"/>
          <w:color w:val="000000"/>
        </w:rPr>
        <w:t xml:space="preserve"> recognized the importance of </w:t>
      </w:r>
      <w:r w:rsidR="00955428">
        <w:rPr>
          <w:rFonts w:cstheme="minorHAnsi"/>
          <w:color w:val="000000"/>
        </w:rPr>
        <w:t xml:space="preserve">the </w:t>
      </w:r>
      <w:r w:rsidR="00A22B6C" w:rsidRPr="00A22B6C">
        <w:rPr>
          <w:rFonts w:cstheme="minorHAnsi"/>
          <w:color w:val="000000"/>
        </w:rPr>
        <w:t xml:space="preserve">LMS </w:t>
      </w:r>
      <w:r w:rsidR="00185038">
        <w:rPr>
          <w:rFonts w:cstheme="minorHAnsi"/>
          <w:color w:val="000000"/>
        </w:rPr>
        <w:t>as</w:t>
      </w:r>
      <w:r w:rsidR="00A22B6C" w:rsidRPr="00A22B6C">
        <w:rPr>
          <w:rFonts w:cstheme="minorHAnsi"/>
          <w:color w:val="000000"/>
        </w:rPr>
        <w:t xml:space="preserve"> a vehicle for networking</w:t>
      </w:r>
      <w:r w:rsidR="00185038">
        <w:rPr>
          <w:rFonts w:cstheme="minorHAnsi"/>
          <w:color w:val="000000"/>
        </w:rPr>
        <w:t>,</w:t>
      </w:r>
      <w:r w:rsidR="00A22B6C" w:rsidRPr="00A22B6C">
        <w:rPr>
          <w:rFonts w:cstheme="minorHAnsi"/>
          <w:color w:val="000000"/>
        </w:rPr>
        <w:t xml:space="preserve"> especially in a business program. We addressed not only the interactivity within the course but also being able to network outside of the classroom as one of the criteria under the Network section. In conclusion, our rubric was </w:t>
      </w:r>
      <w:r w:rsidR="00A22B6C" w:rsidRPr="00A22B6C">
        <w:rPr>
          <w:rFonts w:cstheme="minorHAnsi"/>
          <w:color w:val="000000"/>
        </w:rPr>
        <w:lastRenderedPageBreak/>
        <w:t xml:space="preserve">designed to address the multifaceted needs of the </w:t>
      </w:r>
      <w:r w:rsidR="00185038">
        <w:rPr>
          <w:rFonts w:cstheme="minorHAnsi"/>
          <w:color w:val="000000"/>
        </w:rPr>
        <w:t>scenario</w:t>
      </w:r>
      <w:r w:rsidR="00A22B6C" w:rsidRPr="00A22B6C">
        <w:rPr>
          <w:rFonts w:cstheme="minorHAnsi"/>
          <w:color w:val="000000"/>
        </w:rPr>
        <w:t xml:space="preserve">, with a focus on unifying the current technology, enhancing program </w:t>
      </w:r>
      <w:proofErr w:type="gramStart"/>
      <w:r w:rsidR="00A22B6C" w:rsidRPr="00A22B6C">
        <w:rPr>
          <w:rFonts w:cstheme="minorHAnsi"/>
          <w:color w:val="000000"/>
        </w:rPr>
        <w:t>success</w:t>
      </w:r>
      <w:proofErr w:type="gramEnd"/>
      <w:r w:rsidR="00A22B6C" w:rsidRPr="00A22B6C">
        <w:rPr>
          <w:rFonts w:cstheme="minorHAnsi"/>
          <w:color w:val="000000"/>
        </w:rPr>
        <w:t xml:space="preserve"> and improving learner outcomes.</w:t>
      </w:r>
    </w:p>
    <w:p w14:paraId="7AB4C404" w14:textId="05D2D668" w:rsidR="00EA19B9" w:rsidRPr="00EA19B9" w:rsidRDefault="00EA19B9" w:rsidP="00EA19B9">
      <w:pPr>
        <w:spacing w:line="480" w:lineRule="auto"/>
        <w:ind w:firstLine="720"/>
        <w:jc w:val="center"/>
        <w:rPr>
          <w:rFonts w:cstheme="minorHAnsi"/>
          <w:b/>
          <w:bCs/>
          <w:color w:val="000000"/>
        </w:rPr>
      </w:pPr>
      <w:r w:rsidRPr="00EA19B9">
        <w:rPr>
          <w:rFonts w:cstheme="minorHAnsi"/>
          <w:b/>
          <w:bCs/>
          <w:color w:val="000000"/>
        </w:rPr>
        <w:t>References</w:t>
      </w:r>
    </w:p>
    <w:p w14:paraId="08E6C99B" w14:textId="77777777" w:rsidR="00EA19B9" w:rsidRPr="00EA19B9" w:rsidRDefault="00EA19B9" w:rsidP="00EA19B9">
      <w:pPr>
        <w:spacing w:line="480" w:lineRule="auto"/>
        <w:ind w:left="720" w:hanging="720"/>
        <w:rPr>
          <w:rFonts w:cstheme="minorHAnsi"/>
        </w:rPr>
      </w:pPr>
      <w:r w:rsidRPr="00EA19B9">
        <w:rPr>
          <w:rFonts w:cstheme="minorHAnsi"/>
        </w:rPr>
        <w:t>CAST (2018). Universal design for learning guidelines (version 2.2). Wakefield, MA: Author</w:t>
      </w:r>
    </w:p>
    <w:p w14:paraId="620B5007" w14:textId="77777777" w:rsidR="00EA19B9" w:rsidRPr="00A22B6C" w:rsidRDefault="00EA19B9" w:rsidP="00EA19B9">
      <w:pPr>
        <w:spacing w:line="480" w:lineRule="auto"/>
        <w:ind w:left="720" w:hanging="720"/>
        <w:rPr>
          <w:rFonts w:cstheme="minorHAnsi"/>
        </w:rPr>
      </w:pPr>
      <w:r w:rsidRPr="00EA19B9">
        <w:rPr>
          <w:rFonts w:cstheme="minorHAnsi"/>
        </w:rPr>
        <w:t xml:space="preserve">Henderson, M., Ajjawi, R., Boud, D., &amp; Molloy, E. (2019). Identifying feedback that has impact. In M. Henderson, R. Ajjawi, D. Boud, &amp; E. Molloy (Eds.), </w:t>
      </w:r>
      <w:r w:rsidRPr="00EA19B9">
        <w:rPr>
          <w:rFonts w:cstheme="minorHAnsi"/>
          <w:i/>
          <w:iCs/>
        </w:rPr>
        <w:t>The Impact of Feedback in Higher Education: Improving Assessment Outcomes for Learners</w:t>
      </w:r>
      <w:r w:rsidRPr="00EA19B9">
        <w:rPr>
          <w:rFonts w:cstheme="minorHAnsi"/>
        </w:rPr>
        <w:t xml:space="preserve"> (pp. 15–34). Springer International Publishing. </w:t>
      </w:r>
      <w:hyperlink r:id="rId11" w:history="1">
        <w:r w:rsidRPr="003F0512">
          <w:rPr>
            <w:rStyle w:val="Hyperlink"/>
            <w:rFonts w:cstheme="minorHAnsi"/>
          </w:rPr>
          <w:t>https://doi.org/10.1007/978-3-030-25112-3_2</w:t>
        </w:r>
      </w:hyperlink>
      <w:r>
        <w:rPr>
          <w:rFonts w:cstheme="minorHAnsi"/>
        </w:rPr>
        <w:t xml:space="preserve"> </w:t>
      </w:r>
    </w:p>
    <w:p w14:paraId="69503794" w14:textId="79CFCF7B" w:rsidR="00EA19B9" w:rsidRPr="00EA19B9" w:rsidRDefault="00EA19B9" w:rsidP="00EA19B9">
      <w:pPr>
        <w:spacing w:line="480" w:lineRule="auto"/>
        <w:ind w:left="720" w:hanging="720"/>
        <w:rPr>
          <w:rFonts w:cstheme="minorHAnsi"/>
        </w:rPr>
      </w:pPr>
      <w:r w:rsidRPr="00EA19B9">
        <w:rPr>
          <w:rFonts w:cstheme="minorHAnsi"/>
        </w:rPr>
        <w:t xml:space="preserve">Organization for Economic Co-operation and Development, OECD iLibrary, European Union, &amp; OECD. (2017). </w:t>
      </w:r>
      <w:r w:rsidRPr="00EA19B9">
        <w:rPr>
          <w:rFonts w:cstheme="minorHAnsi"/>
          <w:i/>
          <w:iCs/>
        </w:rPr>
        <w:t>Supporting entrepreneurship and innovation in higher education in Hungary</w:t>
      </w:r>
      <w:r w:rsidRPr="00EA19B9">
        <w:rPr>
          <w:rFonts w:cstheme="minorHAnsi"/>
        </w:rPr>
        <w:t xml:space="preserve">. OECD Publishing. </w:t>
      </w:r>
      <w:hyperlink r:id="rId12" w:history="1">
        <w:r w:rsidRPr="003F0512">
          <w:rPr>
            <w:rStyle w:val="Hyperlink"/>
            <w:rFonts w:cstheme="minorHAnsi"/>
          </w:rPr>
          <w:t>https://doi.org/10.1787/9789264273344-en</w:t>
        </w:r>
      </w:hyperlink>
      <w:r>
        <w:rPr>
          <w:rFonts w:cstheme="minorHAnsi"/>
        </w:rPr>
        <w:t xml:space="preserve"> </w:t>
      </w:r>
    </w:p>
    <w:p w14:paraId="45710C0C" w14:textId="191D954B" w:rsidR="00EA19B9" w:rsidRPr="00EA19B9" w:rsidRDefault="00EA19B9" w:rsidP="00EA19B9">
      <w:pPr>
        <w:spacing w:line="480" w:lineRule="auto"/>
        <w:ind w:left="720" w:hanging="720"/>
        <w:rPr>
          <w:rFonts w:cstheme="minorHAnsi"/>
        </w:rPr>
      </w:pPr>
      <w:r w:rsidRPr="00EA19B9">
        <w:rPr>
          <w:rFonts w:cstheme="minorHAnsi"/>
        </w:rPr>
        <w:t xml:space="preserve">Puentedura, R. (2010). </w:t>
      </w:r>
      <w:r w:rsidRPr="00EA19B9">
        <w:rPr>
          <w:rFonts w:cstheme="minorHAnsi"/>
          <w:i/>
          <w:iCs/>
        </w:rPr>
        <w:t>The journey through the SAMR model. IPad Educators: Sharing Best Practice in the use of Mobile Technology</w:t>
      </w:r>
      <w:r w:rsidRPr="00EA19B9">
        <w:rPr>
          <w:rFonts w:cstheme="minorHAnsi"/>
        </w:rPr>
        <w:t xml:space="preserve">. Retrieved from </w:t>
      </w:r>
      <w:hyperlink r:id="rId13" w:history="1">
        <w:r w:rsidRPr="003F0512">
          <w:rPr>
            <w:rStyle w:val="Hyperlink"/>
            <w:rFonts w:cstheme="minorHAnsi"/>
          </w:rPr>
          <w:t>https://www.powerschool.com/blog/samr-model-a-practical-guide-for-k-12-classroom-technology-integration/</w:t>
        </w:r>
      </w:hyperlink>
      <w:r>
        <w:rPr>
          <w:rFonts w:cstheme="minorHAnsi"/>
        </w:rPr>
        <w:t xml:space="preserve"> </w:t>
      </w:r>
    </w:p>
    <w:p w14:paraId="1CE8038D" w14:textId="1DFEAD00" w:rsidR="00EA19B9" w:rsidRPr="00EA19B9" w:rsidRDefault="00EA19B9" w:rsidP="00EA19B9">
      <w:pPr>
        <w:spacing w:line="480" w:lineRule="auto"/>
        <w:ind w:left="720" w:hanging="720"/>
        <w:rPr>
          <w:rFonts w:cstheme="minorHAnsi"/>
        </w:rPr>
      </w:pPr>
      <w:r w:rsidRPr="00EA19B9">
        <w:rPr>
          <w:rFonts w:cstheme="minorHAnsi"/>
        </w:rPr>
        <w:t xml:space="preserve">Statista.com. (2023, June 15). </w:t>
      </w:r>
      <w:r w:rsidRPr="00EA19B9">
        <w:rPr>
          <w:rFonts w:cstheme="minorHAnsi"/>
          <w:i/>
          <w:iCs/>
        </w:rPr>
        <w:t>Hungary: International University Students</w:t>
      </w:r>
      <w:r w:rsidRPr="00EA19B9">
        <w:rPr>
          <w:rFonts w:cstheme="minorHAnsi"/>
        </w:rPr>
        <w:t xml:space="preserve">. Statista. </w:t>
      </w:r>
      <w:hyperlink r:id="rId14" w:history="1">
        <w:r w:rsidRPr="003F0512">
          <w:rPr>
            <w:rStyle w:val="Hyperlink"/>
            <w:rFonts w:cstheme="minorHAnsi"/>
          </w:rPr>
          <w:t>https://www.statista.com/statistics/1094687/hungary-international-university-students/</w:t>
        </w:r>
      </w:hyperlink>
      <w:r>
        <w:rPr>
          <w:rFonts w:cstheme="minorHAnsi"/>
        </w:rPr>
        <w:t xml:space="preserve"> </w:t>
      </w:r>
      <w:r w:rsidRPr="00EA19B9">
        <w:rPr>
          <w:rFonts w:cstheme="minorHAnsi"/>
        </w:rPr>
        <w:t xml:space="preserve"> </w:t>
      </w:r>
    </w:p>
    <w:p w14:paraId="39A0BB4C" w14:textId="2B719AC4" w:rsidR="00EA19B9" w:rsidRDefault="00EA19B9" w:rsidP="00EA19B9">
      <w:pPr>
        <w:spacing w:line="480" w:lineRule="auto"/>
        <w:ind w:left="720" w:hanging="720"/>
        <w:rPr>
          <w:rFonts w:cstheme="minorHAnsi"/>
        </w:rPr>
      </w:pPr>
      <w:r w:rsidRPr="00EA19B9">
        <w:rPr>
          <w:rFonts w:cstheme="minorHAnsi"/>
        </w:rPr>
        <w:t xml:space="preserve">Wikipedia contributors. (2024, January 26). </w:t>
      </w:r>
      <w:r w:rsidRPr="00EA19B9">
        <w:rPr>
          <w:rFonts w:cstheme="minorHAnsi"/>
          <w:i/>
          <w:iCs/>
        </w:rPr>
        <w:t>Minister of Education (Hungary).</w:t>
      </w:r>
      <w:r w:rsidRPr="00EA19B9">
        <w:rPr>
          <w:rFonts w:cstheme="minorHAnsi"/>
        </w:rPr>
        <w:t xml:space="preserve"> Wikipedia. </w:t>
      </w:r>
      <w:hyperlink r:id="rId15" w:history="1">
        <w:r w:rsidRPr="003F0512">
          <w:rPr>
            <w:rStyle w:val="Hyperlink"/>
            <w:rFonts w:cstheme="minorHAnsi"/>
          </w:rPr>
          <w:t>https://en.wikipedia.org/wiki/Minister_of_Education_(Hungary)</w:t>
        </w:r>
      </w:hyperlink>
      <w:r>
        <w:rPr>
          <w:rFonts w:cstheme="minorHAnsi"/>
        </w:rPr>
        <w:t xml:space="preserve"> </w:t>
      </w:r>
    </w:p>
    <w:sectPr w:rsidR="00EA19B9" w:rsidSect="00A22B6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2B6C"/>
    <w:rsid w:val="00097F08"/>
    <w:rsid w:val="000C6DCE"/>
    <w:rsid w:val="00103CB6"/>
    <w:rsid w:val="00185038"/>
    <w:rsid w:val="001C5791"/>
    <w:rsid w:val="00263665"/>
    <w:rsid w:val="002D1B57"/>
    <w:rsid w:val="002D47B2"/>
    <w:rsid w:val="00303F68"/>
    <w:rsid w:val="00386178"/>
    <w:rsid w:val="003C188D"/>
    <w:rsid w:val="00474EC7"/>
    <w:rsid w:val="004B1173"/>
    <w:rsid w:val="004D40A7"/>
    <w:rsid w:val="00525FAD"/>
    <w:rsid w:val="00556214"/>
    <w:rsid w:val="005A0DFA"/>
    <w:rsid w:val="005D0D4E"/>
    <w:rsid w:val="006366E6"/>
    <w:rsid w:val="006A46B5"/>
    <w:rsid w:val="006B5BBA"/>
    <w:rsid w:val="007B3C39"/>
    <w:rsid w:val="007B3CAC"/>
    <w:rsid w:val="00802C9F"/>
    <w:rsid w:val="00835917"/>
    <w:rsid w:val="008E6433"/>
    <w:rsid w:val="008F0268"/>
    <w:rsid w:val="00955428"/>
    <w:rsid w:val="00A22B6C"/>
    <w:rsid w:val="00A4727B"/>
    <w:rsid w:val="00AA7157"/>
    <w:rsid w:val="00B32ACF"/>
    <w:rsid w:val="00B80E8C"/>
    <w:rsid w:val="00B856AD"/>
    <w:rsid w:val="00C25F83"/>
    <w:rsid w:val="00C77E36"/>
    <w:rsid w:val="00CB477E"/>
    <w:rsid w:val="00CE66C2"/>
    <w:rsid w:val="00D41B90"/>
    <w:rsid w:val="00D532B3"/>
    <w:rsid w:val="00DF0E45"/>
    <w:rsid w:val="00E447C3"/>
    <w:rsid w:val="00E7373B"/>
    <w:rsid w:val="00E84F7E"/>
    <w:rsid w:val="00E86A06"/>
    <w:rsid w:val="00EA19B9"/>
    <w:rsid w:val="00EC74A8"/>
    <w:rsid w:val="00F56734"/>
    <w:rsid w:val="00F61567"/>
    <w:rsid w:val="00F72F9D"/>
    <w:rsid w:val="00F7373D"/>
    <w:rsid w:val="00FD7DD0"/>
    <w:rsid w:val="00FE7D4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AA897A"/>
  <w15:chartTrackingRefBased/>
  <w15:docId w15:val="{6E6CF3A0-85FC-4F8B-87F3-8F1198B5B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22B6C"/>
    <w:pPr>
      <w:spacing w:before="100" w:beforeAutospacing="1" w:after="100" w:afterAutospacing="1" w:line="240" w:lineRule="auto"/>
    </w:pPr>
    <w:rPr>
      <w:rFonts w:ascii="Times New Roman" w:eastAsia="Times New Roman" w:hAnsi="Times New Roman" w:cs="Times New Roman"/>
      <w:kern w:val="0"/>
      <w:sz w:val="24"/>
      <w:szCs w:val="24"/>
      <w:lang w:eastAsia="en-CA"/>
      <w14:ligatures w14:val="none"/>
    </w:rPr>
  </w:style>
  <w:style w:type="character" w:styleId="Hyperlink">
    <w:name w:val="Hyperlink"/>
    <w:basedOn w:val="DefaultParagraphFont"/>
    <w:uiPriority w:val="99"/>
    <w:unhideWhenUsed/>
    <w:rsid w:val="00EA19B9"/>
    <w:rPr>
      <w:color w:val="0563C1" w:themeColor="hyperlink"/>
      <w:u w:val="single"/>
    </w:rPr>
  </w:style>
  <w:style w:type="character" w:styleId="UnresolvedMention">
    <w:name w:val="Unresolved Mention"/>
    <w:basedOn w:val="DefaultParagraphFont"/>
    <w:uiPriority w:val="99"/>
    <w:semiHidden/>
    <w:unhideWhenUsed/>
    <w:rsid w:val="00EA19B9"/>
    <w:rPr>
      <w:color w:val="605E5C"/>
      <w:shd w:val="clear" w:color="auto" w:fill="E1DFDD"/>
    </w:rPr>
  </w:style>
  <w:style w:type="table" w:styleId="TableGrid">
    <w:name w:val="Table Grid"/>
    <w:basedOn w:val="TableNormal"/>
    <w:uiPriority w:val="39"/>
    <w:rsid w:val="00185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7147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www.powerschool.com/blog/samr-model-a-practical-guide-for-k-12-classroom-technology-integration/"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doi.org/10.1787/9789264273344-en"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doi.org/10.1007/978-3-030-25112-3_2" TargetMode="External"/><Relationship Id="rId5" Type="http://schemas.openxmlformats.org/officeDocument/2006/relationships/image" Target="media/image2.png"/><Relationship Id="rId15" Type="http://schemas.openxmlformats.org/officeDocument/2006/relationships/hyperlink" Target="https://en.wikipedia.org/wiki/Minister_of_Education_(Hungary)" TargetMode="Externa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hyperlink" Target="https://www.statista.com/statistics/1094687/hungary-international-university-stud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118</TotalTime>
  <Pages>11</Pages>
  <Words>915</Words>
  <Characters>5217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Dunn</dc:creator>
  <cp:keywords/>
  <dc:description/>
  <cp:lastModifiedBy>Andrew Dunn</cp:lastModifiedBy>
  <cp:revision>44</cp:revision>
  <dcterms:created xsi:type="dcterms:W3CDTF">2024-02-05T00:43:00Z</dcterms:created>
  <dcterms:modified xsi:type="dcterms:W3CDTF">2024-02-05T02:41:00Z</dcterms:modified>
</cp:coreProperties>
</file>